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5E5" w:rsidRDefault="009225E5" w:rsidP="009225E5">
      <w:pPr>
        <w:tabs>
          <w:tab w:val="left" w:pos="1230"/>
        </w:tabs>
        <w:jc w:val="center"/>
      </w:pPr>
      <w:proofErr w:type="spellStart"/>
      <w:r>
        <w:t>Bosna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Hercegovina</w:t>
      </w:r>
      <w:proofErr w:type="spellEnd"/>
    </w:p>
    <w:p w:rsidR="009225E5" w:rsidRDefault="009225E5" w:rsidP="009225E5">
      <w:pPr>
        <w:tabs>
          <w:tab w:val="left" w:pos="1230"/>
        </w:tabs>
        <w:jc w:val="center"/>
      </w:pPr>
      <w:r>
        <w:rPr>
          <w:noProof/>
          <w:lang w:val="hr-HR" w:eastAsia="hr-HR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386080</wp:posOffset>
            </wp:positionH>
            <wp:positionV relativeFrom="paragraph">
              <wp:posOffset>-260985</wp:posOffset>
            </wp:positionV>
            <wp:extent cx="464185" cy="699770"/>
            <wp:effectExtent l="19050" t="0" r="0" b="0"/>
            <wp:wrapTight wrapText="bothSides">
              <wp:wrapPolygon edited="0">
                <wp:start x="-886" y="0"/>
                <wp:lineTo x="-886" y="21169"/>
                <wp:lineTo x="21275" y="21169"/>
                <wp:lineTo x="21275" y="0"/>
                <wp:lineTo x="-886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85" cy="6997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proofErr w:type="spellStart"/>
      <w:r>
        <w:t>Federacija</w:t>
      </w:r>
      <w:proofErr w:type="spellEnd"/>
      <w:r>
        <w:t xml:space="preserve"> </w:t>
      </w:r>
      <w:proofErr w:type="spellStart"/>
      <w:r>
        <w:t>Bosne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Hercegovine</w:t>
      </w:r>
      <w:proofErr w:type="spellEnd"/>
    </w:p>
    <w:p w:rsidR="009225E5" w:rsidRDefault="009225E5" w:rsidP="009225E5">
      <w:pPr>
        <w:tabs>
          <w:tab w:val="left" w:pos="1230"/>
        </w:tabs>
        <w:jc w:val="center"/>
      </w:pPr>
      <w:proofErr w:type="spellStart"/>
      <w:r>
        <w:t>Tuzlanski</w:t>
      </w:r>
      <w:proofErr w:type="spellEnd"/>
      <w:r>
        <w:t xml:space="preserve"> </w:t>
      </w:r>
      <w:proofErr w:type="spellStart"/>
      <w:r>
        <w:t>kanton</w:t>
      </w:r>
      <w:proofErr w:type="spellEnd"/>
    </w:p>
    <w:p w:rsidR="009225E5" w:rsidRDefault="009225E5" w:rsidP="009225E5">
      <w:pPr>
        <w:tabs>
          <w:tab w:val="left" w:pos="1230"/>
          <w:tab w:val="left" w:pos="5940"/>
        </w:tabs>
        <w:jc w:val="center"/>
        <w:rPr>
          <w:b/>
        </w:rPr>
      </w:pPr>
      <w:r>
        <w:rPr>
          <w:b/>
        </w:rPr>
        <w:t xml:space="preserve">GRAD GRADAČAC   </w:t>
      </w:r>
    </w:p>
    <w:p w:rsidR="009225E5" w:rsidRDefault="009225E5" w:rsidP="009225E5">
      <w:pPr>
        <w:pBdr>
          <w:top w:val="single" w:sz="4" w:space="1" w:color="000000"/>
        </w:pBdr>
        <w:jc w:val="center"/>
        <w:rPr>
          <w:sz w:val="14"/>
        </w:rPr>
      </w:pPr>
      <w:proofErr w:type="spellStart"/>
      <w:r>
        <w:rPr>
          <w:sz w:val="14"/>
        </w:rPr>
        <w:t>H.K.Gradaščevića</w:t>
      </w:r>
      <w:proofErr w:type="spellEnd"/>
      <w:r>
        <w:rPr>
          <w:sz w:val="14"/>
        </w:rPr>
        <w:t xml:space="preserve"> 74, 76 250 </w:t>
      </w:r>
      <w:proofErr w:type="spellStart"/>
      <w:r>
        <w:rPr>
          <w:sz w:val="14"/>
        </w:rPr>
        <w:t>Gradačac</w:t>
      </w:r>
      <w:proofErr w:type="spellEnd"/>
      <w:proofErr w:type="gramStart"/>
      <w:r>
        <w:rPr>
          <w:sz w:val="14"/>
        </w:rPr>
        <w:t xml:space="preserve">,  </w:t>
      </w:r>
      <w:proofErr w:type="spellStart"/>
      <w:r>
        <w:rPr>
          <w:sz w:val="14"/>
        </w:rPr>
        <w:t>telefon</w:t>
      </w:r>
      <w:proofErr w:type="spellEnd"/>
      <w:proofErr w:type="gramEnd"/>
      <w:r>
        <w:rPr>
          <w:sz w:val="14"/>
        </w:rPr>
        <w:t>/fax. 035-369-</w:t>
      </w:r>
      <w:proofErr w:type="gramStart"/>
      <w:r>
        <w:rPr>
          <w:sz w:val="14"/>
        </w:rPr>
        <w:t xml:space="preserve">770  </w:t>
      </w:r>
      <w:proofErr w:type="spellStart"/>
      <w:r>
        <w:rPr>
          <w:sz w:val="14"/>
        </w:rPr>
        <w:t>i</w:t>
      </w:r>
      <w:proofErr w:type="spellEnd"/>
      <w:proofErr w:type="gramEnd"/>
      <w:r>
        <w:rPr>
          <w:sz w:val="14"/>
        </w:rPr>
        <w:t xml:space="preserve">  035-369-771,  </w:t>
      </w:r>
      <w:proofErr w:type="spellStart"/>
      <w:r>
        <w:rPr>
          <w:sz w:val="14"/>
        </w:rPr>
        <w:t>e.mail</w:t>
      </w:r>
      <w:proofErr w:type="spellEnd"/>
      <w:r>
        <w:rPr>
          <w:sz w:val="14"/>
        </w:rPr>
        <w:t xml:space="preserve">: </w:t>
      </w:r>
      <w:r>
        <w:rPr>
          <w:sz w:val="14"/>
          <w:u w:val="single"/>
        </w:rPr>
        <w:t>vijece@gradacac.ba</w:t>
      </w:r>
      <w:r>
        <w:rPr>
          <w:sz w:val="14"/>
        </w:rPr>
        <w:t xml:space="preserve">,  www.gradacac.ba </w:t>
      </w:r>
    </w:p>
    <w:p w:rsidR="009225E5" w:rsidRDefault="00817586" w:rsidP="00817586">
      <w:pPr>
        <w:pBdr>
          <w:top w:val="single" w:sz="4" w:space="1" w:color="000000"/>
        </w:pBdr>
        <w:rPr>
          <w:b/>
        </w:rPr>
      </w:pPr>
      <w:r w:rsidRPr="00817586">
        <w:rPr>
          <w:b/>
        </w:rPr>
        <w:t>GRADSKO</w:t>
      </w:r>
      <w:r w:rsidRPr="00817586">
        <w:rPr>
          <w:b/>
          <w:sz w:val="14"/>
        </w:rPr>
        <w:t xml:space="preserve"> </w:t>
      </w:r>
      <w:r>
        <w:rPr>
          <w:b/>
        </w:rPr>
        <w:t xml:space="preserve">VIJEĆE  </w:t>
      </w:r>
      <w:r w:rsidRPr="00817586">
        <w:rPr>
          <w:b/>
        </w:rPr>
        <w:t xml:space="preserve">                            </w:t>
      </w:r>
      <w:r>
        <w:rPr>
          <w:b/>
        </w:rPr>
        <w:t xml:space="preserve">                                                             </w:t>
      </w:r>
      <w:bookmarkStart w:id="0" w:name="_GoBack"/>
      <w:bookmarkEnd w:id="0"/>
      <w:r w:rsidRPr="00817586">
        <w:rPr>
          <w:b/>
        </w:rPr>
        <w:t xml:space="preserve"> </w:t>
      </w:r>
      <w:r w:rsidRPr="00817586">
        <w:rPr>
          <w:b/>
        </w:rPr>
        <w:t>PRIJEDLOG</w:t>
      </w:r>
      <w:r w:rsidRPr="00817586">
        <w:rPr>
          <w:b/>
        </w:rPr>
        <w:t xml:space="preserve">           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 </w:t>
      </w:r>
    </w:p>
    <w:p w:rsidR="00817586" w:rsidRPr="00817586" w:rsidRDefault="00817586" w:rsidP="00817586">
      <w:pPr>
        <w:pBdr>
          <w:top w:val="single" w:sz="4" w:space="1" w:color="000000"/>
        </w:pBdr>
        <w:rPr>
          <w:b/>
        </w:rPr>
      </w:pPr>
    </w:p>
    <w:p w:rsidR="002A4FAA" w:rsidRDefault="001E3BC1" w:rsidP="002A4FAA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Na osnovu člana 11.</w:t>
      </w:r>
      <w:r w:rsidR="002A4FAA" w:rsidRPr="002A4FAA">
        <w:rPr>
          <w:lang w:val="bs-Latn-BA"/>
        </w:rPr>
        <w:t xml:space="preserve"> Uredbe o vršenju ovlaštenja u privrednim društvima sa učešćem državnog kapitala iz nadležnosti Tuzlanskog kantona i općina/gradova na području Tuzlanskog kantona („Službene novine TK“, broj 11/19) i člana 21. tačka 2. i 18. Statuta Grada Gradačac (“Službeni glasnik Grada Gradačac”, broj 10/22), </w:t>
      </w:r>
      <w:r w:rsidR="00F7053A">
        <w:rPr>
          <w:lang w:val="bs-Latn-BA"/>
        </w:rPr>
        <w:t xml:space="preserve">na prijedlog Komisije za izbore i imenovanja, </w:t>
      </w:r>
      <w:r w:rsidR="002A4FAA" w:rsidRPr="002A4FAA">
        <w:rPr>
          <w:lang w:val="bs-Latn-BA"/>
        </w:rPr>
        <w:t>Gra</w:t>
      </w:r>
      <w:r w:rsidR="00B50E43">
        <w:rPr>
          <w:lang w:val="bs-Latn-BA"/>
        </w:rPr>
        <w:t xml:space="preserve">dsko vijeće Grada Gradačac, na </w:t>
      </w:r>
      <w:r w:rsidR="00306B69">
        <w:rPr>
          <w:lang w:val="bs-Latn-BA"/>
        </w:rPr>
        <w:t>5</w:t>
      </w:r>
      <w:r w:rsidR="002A4FAA" w:rsidRPr="002A4FAA">
        <w:rPr>
          <w:lang w:val="bs-Latn-BA"/>
        </w:rPr>
        <w:t>. redov</w:t>
      </w:r>
      <w:r w:rsidR="00306B69">
        <w:rPr>
          <w:lang w:val="bs-Latn-BA"/>
        </w:rPr>
        <w:t>noj sjednici održanoj 29</w:t>
      </w:r>
      <w:r w:rsidR="00B50E43">
        <w:rPr>
          <w:lang w:val="bs-Latn-BA"/>
        </w:rPr>
        <w:t>.04.2025</w:t>
      </w:r>
      <w:r w:rsidR="002A4FAA" w:rsidRPr="002A4FAA">
        <w:rPr>
          <w:lang w:val="bs-Latn-BA"/>
        </w:rPr>
        <w:t>. godine, d o n o s i</w:t>
      </w:r>
    </w:p>
    <w:p w:rsidR="002A4FAA" w:rsidRDefault="002A4FAA" w:rsidP="002A4FAA">
      <w:pPr>
        <w:rPr>
          <w:lang w:val="bs-Latn-BA"/>
        </w:rPr>
      </w:pPr>
    </w:p>
    <w:p w:rsidR="003E3DD4" w:rsidRPr="003E3DD4" w:rsidRDefault="002A4FAA" w:rsidP="003E3DD4">
      <w:pPr>
        <w:jc w:val="center"/>
        <w:rPr>
          <w:b/>
          <w:lang w:val="bs-Latn-BA"/>
        </w:rPr>
      </w:pPr>
      <w:r w:rsidRPr="002A4FAA">
        <w:rPr>
          <w:b/>
          <w:lang w:val="bs-Latn-BA"/>
        </w:rPr>
        <w:t>O D L U K U</w:t>
      </w:r>
    </w:p>
    <w:p w:rsidR="003E3DD4" w:rsidRPr="003E3DD4" w:rsidRDefault="003E3DD4" w:rsidP="003E3DD4">
      <w:pPr>
        <w:jc w:val="center"/>
        <w:rPr>
          <w:b/>
          <w:lang w:val="bs-Latn-BA"/>
        </w:rPr>
      </w:pPr>
      <w:r w:rsidRPr="003E3DD4">
        <w:rPr>
          <w:b/>
          <w:lang w:val="bs-Latn-BA"/>
        </w:rPr>
        <w:t>o davanju prethodne saglasnosti Nadzornom</w:t>
      </w:r>
    </w:p>
    <w:p w:rsidR="003E3DD4" w:rsidRPr="003E3DD4" w:rsidRDefault="00B54B79" w:rsidP="003E3DD4">
      <w:pPr>
        <w:jc w:val="center"/>
        <w:rPr>
          <w:b/>
          <w:lang w:val="bs-Latn-BA"/>
        </w:rPr>
      </w:pPr>
      <w:r>
        <w:rPr>
          <w:b/>
          <w:lang w:val="bs-Latn-BA"/>
        </w:rPr>
        <w:t>odboru Javnog preduzeća</w:t>
      </w:r>
      <w:r w:rsidR="003E3DD4" w:rsidRPr="003E3DD4">
        <w:rPr>
          <w:b/>
          <w:lang w:val="bs-Latn-BA"/>
        </w:rPr>
        <w:t xml:space="preserve"> „</w:t>
      </w:r>
      <w:r w:rsidR="00306B69">
        <w:rPr>
          <w:b/>
          <w:lang w:val="bs-Latn-BA"/>
        </w:rPr>
        <w:t>Parkinzi“ d.o.o.</w:t>
      </w:r>
      <w:r w:rsidR="003E3DD4" w:rsidRPr="003E3DD4">
        <w:rPr>
          <w:b/>
          <w:lang w:val="bs-Latn-BA"/>
        </w:rPr>
        <w:t xml:space="preserve"> Gradačac za</w:t>
      </w:r>
    </w:p>
    <w:p w:rsidR="002A4FAA" w:rsidRDefault="003E3DD4" w:rsidP="003E3DD4">
      <w:pPr>
        <w:jc w:val="center"/>
        <w:rPr>
          <w:b/>
          <w:lang w:val="bs-Latn-BA"/>
        </w:rPr>
      </w:pPr>
      <w:r w:rsidRPr="003E3DD4">
        <w:rPr>
          <w:b/>
          <w:lang w:val="bs-Latn-BA"/>
        </w:rPr>
        <w:t>imenovanje direktora Društva</w:t>
      </w:r>
    </w:p>
    <w:p w:rsidR="003E3DD4" w:rsidRDefault="003E3DD4" w:rsidP="002A4FAA">
      <w:pPr>
        <w:jc w:val="center"/>
        <w:rPr>
          <w:b/>
          <w:lang w:val="bs-Latn-BA"/>
        </w:rPr>
      </w:pPr>
    </w:p>
    <w:p w:rsidR="003E3DD4" w:rsidRPr="002A4FAA" w:rsidRDefault="003E3DD4" w:rsidP="002A4FAA">
      <w:pPr>
        <w:jc w:val="center"/>
        <w:rPr>
          <w:b/>
          <w:lang w:val="bs-Latn-BA"/>
        </w:rPr>
      </w:pPr>
    </w:p>
    <w:p w:rsidR="002A4FAA" w:rsidRPr="003E3DD4" w:rsidRDefault="002A4FAA" w:rsidP="002A4FAA">
      <w:pPr>
        <w:jc w:val="center"/>
        <w:rPr>
          <w:b/>
          <w:lang w:val="bs-Latn-BA"/>
        </w:rPr>
      </w:pPr>
      <w:r w:rsidRPr="003E3DD4">
        <w:rPr>
          <w:b/>
          <w:lang w:val="bs-Latn-BA"/>
        </w:rPr>
        <w:t>Član 1.</w:t>
      </w:r>
    </w:p>
    <w:p w:rsidR="002A4FAA" w:rsidRPr="002A4FAA" w:rsidRDefault="002A4FAA" w:rsidP="003E3DD4">
      <w:pPr>
        <w:jc w:val="both"/>
        <w:rPr>
          <w:lang w:val="bs-Latn-BA"/>
        </w:rPr>
      </w:pPr>
      <w:r w:rsidRPr="002A4FAA">
        <w:rPr>
          <w:lang w:val="bs-Latn-BA"/>
        </w:rPr>
        <w:t>Daje se</w:t>
      </w:r>
      <w:r>
        <w:rPr>
          <w:lang w:val="bs-Latn-BA"/>
        </w:rPr>
        <w:t xml:space="preserve"> prethodna saglasnost Nadzornom </w:t>
      </w:r>
      <w:r w:rsidR="001E3BC1">
        <w:rPr>
          <w:lang w:val="bs-Latn-BA"/>
        </w:rPr>
        <w:t>odboru Javnog preduzeća</w:t>
      </w:r>
      <w:r w:rsidR="00306B69">
        <w:rPr>
          <w:lang w:val="bs-Latn-BA"/>
        </w:rPr>
        <w:t xml:space="preserve"> „Parkinzi“ d.o.o.</w:t>
      </w:r>
      <w:r w:rsidRPr="002A4FAA">
        <w:rPr>
          <w:lang w:val="bs-Latn-BA"/>
        </w:rPr>
        <w:t xml:space="preserve"> Gradačac da za</w:t>
      </w:r>
      <w:r w:rsidR="001E3BC1">
        <w:rPr>
          <w:lang w:val="bs-Latn-BA"/>
        </w:rPr>
        <w:t xml:space="preserve"> </w:t>
      </w:r>
      <w:r w:rsidRPr="002A4FAA">
        <w:rPr>
          <w:lang w:val="bs-Latn-BA"/>
        </w:rPr>
        <w:t>direktora Druš</w:t>
      </w:r>
      <w:r>
        <w:rPr>
          <w:lang w:val="bs-Latn-BA"/>
        </w:rPr>
        <w:t xml:space="preserve">tva imenuje </w:t>
      </w:r>
      <w:r w:rsidR="00306B69">
        <w:rPr>
          <w:lang w:val="bs-Latn-BA"/>
        </w:rPr>
        <w:t xml:space="preserve">Novalić </w:t>
      </w:r>
      <w:r w:rsidR="002660DA">
        <w:rPr>
          <w:lang w:val="bs-Latn-BA"/>
        </w:rPr>
        <w:t xml:space="preserve">(Osman) </w:t>
      </w:r>
      <w:r w:rsidR="00306B69">
        <w:rPr>
          <w:lang w:val="bs-Latn-BA"/>
        </w:rPr>
        <w:t>Ensara</w:t>
      </w:r>
      <w:r w:rsidR="002660DA">
        <w:rPr>
          <w:lang w:val="bs-Latn-BA"/>
        </w:rPr>
        <w:t xml:space="preserve"> </w:t>
      </w:r>
      <w:r>
        <w:rPr>
          <w:lang w:val="bs-Latn-BA"/>
        </w:rPr>
        <w:t>iz Gradačca</w:t>
      </w:r>
      <w:r w:rsidR="003E3DD4">
        <w:rPr>
          <w:lang w:val="bs-Latn-BA"/>
        </w:rPr>
        <w:t>.</w:t>
      </w:r>
      <w:r>
        <w:rPr>
          <w:lang w:val="bs-Latn-BA"/>
        </w:rPr>
        <w:t xml:space="preserve"> </w:t>
      </w:r>
    </w:p>
    <w:p w:rsidR="002A4FAA" w:rsidRDefault="002A4FAA" w:rsidP="002A4FAA">
      <w:pPr>
        <w:rPr>
          <w:lang w:val="bs-Latn-BA"/>
        </w:rPr>
      </w:pPr>
    </w:p>
    <w:p w:rsidR="002A4FAA" w:rsidRPr="002A4FAA" w:rsidRDefault="002A4FAA" w:rsidP="002A4FAA">
      <w:pPr>
        <w:jc w:val="center"/>
        <w:rPr>
          <w:b/>
          <w:lang w:val="bs-Latn-BA"/>
        </w:rPr>
      </w:pPr>
      <w:r w:rsidRPr="002A4FAA">
        <w:rPr>
          <w:b/>
          <w:lang w:val="bs-Latn-BA"/>
        </w:rPr>
        <w:t>Član 2.</w:t>
      </w:r>
    </w:p>
    <w:p w:rsidR="002A4FAA" w:rsidRPr="002A4FAA" w:rsidRDefault="003E3DD4" w:rsidP="003E3DD4">
      <w:pPr>
        <w:jc w:val="both"/>
        <w:rPr>
          <w:lang w:val="bs-Latn-BA"/>
        </w:rPr>
      </w:pPr>
      <w:r>
        <w:rPr>
          <w:lang w:val="bs-Latn-BA"/>
        </w:rPr>
        <w:t>Obavezuje se Nadzorni odbor J</w:t>
      </w:r>
      <w:r w:rsidR="001E3BC1">
        <w:rPr>
          <w:lang w:val="bs-Latn-BA"/>
        </w:rPr>
        <w:t>avnog preduzeća</w:t>
      </w:r>
      <w:r w:rsidR="002A4FAA">
        <w:rPr>
          <w:lang w:val="bs-Latn-BA"/>
        </w:rPr>
        <w:t xml:space="preserve"> </w:t>
      </w:r>
      <w:r w:rsidR="00306B69">
        <w:rPr>
          <w:lang w:val="bs-Latn-BA"/>
        </w:rPr>
        <w:t>„Parkinzi</w:t>
      </w:r>
      <w:r w:rsidR="002A4FAA" w:rsidRPr="002A4FAA">
        <w:rPr>
          <w:lang w:val="bs-Latn-BA"/>
        </w:rPr>
        <w:t>“ d.</w:t>
      </w:r>
      <w:r w:rsidR="00306B69">
        <w:rPr>
          <w:lang w:val="bs-Latn-BA"/>
        </w:rPr>
        <w:t>o.o.</w:t>
      </w:r>
      <w:r w:rsidR="002A4FAA">
        <w:rPr>
          <w:lang w:val="bs-Latn-BA"/>
        </w:rPr>
        <w:t xml:space="preserve"> Gradačac da u skladu sa ovom </w:t>
      </w:r>
      <w:r w:rsidR="002A4FAA" w:rsidRPr="002A4FAA">
        <w:rPr>
          <w:lang w:val="bs-Latn-BA"/>
        </w:rPr>
        <w:t>Odlukom donese O</w:t>
      </w:r>
      <w:r w:rsidR="002A4FAA">
        <w:rPr>
          <w:lang w:val="bs-Latn-BA"/>
        </w:rPr>
        <w:t xml:space="preserve">dluku o imenovanju direktora na </w:t>
      </w:r>
      <w:r w:rsidR="002A4FAA" w:rsidRPr="002A4FAA">
        <w:rPr>
          <w:lang w:val="bs-Latn-BA"/>
        </w:rPr>
        <w:t>mandantni period od 4 (četiri) godine.</w:t>
      </w:r>
    </w:p>
    <w:p w:rsidR="002A4FAA" w:rsidRDefault="002A4FAA" w:rsidP="002A4FAA">
      <w:pPr>
        <w:rPr>
          <w:lang w:val="bs-Latn-BA"/>
        </w:rPr>
      </w:pPr>
    </w:p>
    <w:p w:rsidR="002A4FAA" w:rsidRDefault="002A4FAA" w:rsidP="002A4FAA">
      <w:pPr>
        <w:jc w:val="center"/>
        <w:rPr>
          <w:b/>
          <w:lang w:val="bs-Latn-BA"/>
        </w:rPr>
      </w:pPr>
      <w:r w:rsidRPr="002A4FAA">
        <w:rPr>
          <w:b/>
          <w:lang w:val="bs-Latn-BA"/>
        </w:rPr>
        <w:t>Član 3.</w:t>
      </w:r>
    </w:p>
    <w:p w:rsidR="003E3DD4" w:rsidRPr="002A4FAA" w:rsidRDefault="003E3DD4" w:rsidP="003E3DD4">
      <w:pPr>
        <w:rPr>
          <w:lang w:val="bs-Latn-BA"/>
        </w:rPr>
      </w:pPr>
      <w:r w:rsidRPr="002A4FAA">
        <w:rPr>
          <w:lang w:val="bs-Latn-BA"/>
        </w:rPr>
        <w:t>Ova odlu</w:t>
      </w:r>
      <w:r>
        <w:rPr>
          <w:lang w:val="bs-Latn-BA"/>
        </w:rPr>
        <w:t xml:space="preserve">ka stupa na snagu osmog dana od </w:t>
      </w:r>
      <w:r w:rsidRPr="002A4FAA">
        <w:rPr>
          <w:lang w:val="bs-Latn-BA"/>
        </w:rPr>
        <w:t>dana objavljivanja u “Službenom glasniku Grada</w:t>
      </w:r>
    </w:p>
    <w:p w:rsidR="003E3DD4" w:rsidRPr="002A4FAA" w:rsidRDefault="003E3DD4" w:rsidP="003E3DD4">
      <w:pPr>
        <w:rPr>
          <w:lang w:val="bs-Latn-BA"/>
        </w:rPr>
      </w:pPr>
      <w:r w:rsidRPr="002A4FAA">
        <w:rPr>
          <w:lang w:val="bs-Latn-BA"/>
        </w:rPr>
        <w:t>Gradačac”.</w:t>
      </w:r>
    </w:p>
    <w:p w:rsidR="003E3DD4" w:rsidRDefault="003E3DD4" w:rsidP="003E3DD4">
      <w:pPr>
        <w:rPr>
          <w:b/>
          <w:lang w:val="bs-Latn-BA"/>
        </w:rPr>
      </w:pPr>
    </w:p>
    <w:p w:rsidR="003E3DD4" w:rsidRPr="002A4FAA" w:rsidRDefault="003E3DD4" w:rsidP="002A4FAA">
      <w:pPr>
        <w:jc w:val="center"/>
        <w:rPr>
          <w:b/>
          <w:lang w:val="bs-Latn-BA"/>
        </w:rPr>
      </w:pPr>
    </w:p>
    <w:p w:rsidR="005A21C1" w:rsidRPr="00E20E95" w:rsidRDefault="005A21C1" w:rsidP="005A21C1">
      <w:pPr>
        <w:jc w:val="center"/>
        <w:rPr>
          <w:b/>
          <w:lang w:val="bs-Latn-BA"/>
        </w:rPr>
      </w:pPr>
      <w:r w:rsidRPr="00E20E95">
        <w:rPr>
          <w:b/>
          <w:lang w:val="bs-Latn-BA"/>
        </w:rPr>
        <w:t>BOSNA I HERCEGOVINA</w:t>
      </w:r>
    </w:p>
    <w:p w:rsidR="005A21C1" w:rsidRPr="00E20E95" w:rsidRDefault="005A21C1" w:rsidP="005A21C1">
      <w:pPr>
        <w:jc w:val="center"/>
        <w:rPr>
          <w:b/>
          <w:bCs/>
          <w:lang w:val="bs-Latn-BA"/>
        </w:rPr>
      </w:pPr>
      <w:r w:rsidRPr="00E20E95">
        <w:rPr>
          <w:b/>
          <w:bCs/>
          <w:lang w:val="bs-Latn-BA"/>
        </w:rPr>
        <w:t>FEDERACIJA BOSNE I HERCEGOVINE</w:t>
      </w:r>
    </w:p>
    <w:p w:rsidR="005A21C1" w:rsidRPr="00E20E95" w:rsidRDefault="005A21C1" w:rsidP="005A21C1">
      <w:pPr>
        <w:jc w:val="center"/>
        <w:rPr>
          <w:b/>
          <w:bCs/>
          <w:lang w:val="bs-Latn-BA"/>
        </w:rPr>
      </w:pPr>
      <w:r w:rsidRPr="00E20E95">
        <w:rPr>
          <w:b/>
          <w:bCs/>
          <w:lang w:val="bs-Latn-BA"/>
        </w:rPr>
        <w:t>TUZLANSKI KANTON</w:t>
      </w:r>
    </w:p>
    <w:p w:rsidR="005A21C1" w:rsidRPr="00E20E95" w:rsidRDefault="005A21C1" w:rsidP="005A21C1">
      <w:pPr>
        <w:jc w:val="center"/>
        <w:rPr>
          <w:b/>
          <w:lang w:val="bs-Latn-BA"/>
        </w:rPr>
      </w:pPr>
      <w:r w:rsidRPr="00E20E95">
        <w:rPr>
          <w:b/>
          <w:lang w:val="bs-Latn-BA"/>
        </w:rPr>
        <w:t>GRAD GRADAČAC</w:t>
      </w:r>
    </w:p>
    <w:p w:rsidR="005A21C1" w:rsidRPr="00E20E95" w:rsidRDefault="005A21C1" w:rsidP="005A21C1">
      <w:pPr>
        <w:jc w:val="center"/>
        <w:rPr>
          <w:b/>
          <w:lang w:val="bs-Latn-BA"/>
        </w:rPr>
      </w:pPr>
      <w:r w:rsidRPr="00E20E95">
        <w:rPr>
          <w:b/>
          <w:lang w:val="bs-Latn-BA"/>
        </w:rPr>
        <w:t>- Gradsko vijeće –</w:t>
      </w:r>
    </w:p>
    <w:p w:rsidR="005A21C1" w:rsidRDefault="005A21C1" w:rsidP="005A21C1">
      <w:pPr>
        <w:jc w:val="both"/>
        <w:rPr>
          <w:lang w:val="bs-Latn-BA"/>
        </w:rPr>
      </w:pPr>
    </w:p>
    <w:p w:rsidR="005A21C1" w:rsidRDefault="005A21C1" w:rsidP="005A21C1">
      <w:pPr>
        <w:jc w:val="both"/>
        <w:rPr>
          <w:lang w:val="bs-Latn-BA"/>
        </w:rPr>
      </w:pPr>
    </w:p>
    <w:p w:rsidR="005A21C1" w:rsidRDefault="005A21C1" w:rsidP="005A21C1">
      <w:pPr>
        <w:jc w:val="both"/>
        <w:rPr>
          <w:lang w:val="bs-Latn-BA"/>
        </w:rPr>
      </w:pPr>
    </w:p>
    <w:p w:rsidR="005A21C1" w:rsidRDefault="005A21C1" w:rsidP="005A21C1">
      <w:pPr>
        <w:jc w:val="both"/>
        <w:rPr>
          <w:lang w:val="bs-Latn-BA"/>
        </w:rPr>
      </w:pPr>
      <w:r w:rsidRPr="00E20E95">
        <w:rPr>
          <w:lang w:val="bs-Latn-BA"/>
        </w:rPr>
        <w:t>Broj:</w:t>
      </w:r>
      <w:r w:rsidR="00306B69">
        <w:rPr>
          <w:lang w:val="bs-Latn-BA"/>
        </w:rPr>
        <w:t xml:space="preserve"> 01-04-      </w:t>
      </w:r>
      <w:r>
        <w:rPr>
          <w:lang w:val="bs-Latn-BA"/>
        </w:rPr>
        <w:t>/25</w:t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>
        <w:rPr>
          <w:lang w:val="bs-Latn-BA"/>
        </w:rPr>
        <w:t xml:space="preserve">                    </w:t>
      </w:r>
      <w:r w:rsidRPr="00E20E95">
        <w:rPr>
          <w:b/>
          <w:bCs/>
          <w:lang w:val="bs-Latn-BA"/>
        </w:rPr>
        <w:t>PREDSJEDAVAJUĆI</w:t>
      </w:r>
      <w:r w:rsidRPr="00E20E95">
        <w:rPr>
          <w:lang w:val="bs-Latn-BA"/>
        </w:rPr>
        <w:tab/>
      </w:r>
    </w:p>
    <w:p w:rsidR="005A21C1" w:rsidRDefault="005A21C1" w:rsidP="005A21C1">
      <w:pPr>
        <w:jc w:val="both"/>
        <w:rPr>
          <w:b/>
          <w:lang w:val="bs-Latn-BA"/>
        </w:rPr>
      </w:pPr>
      <w:r w:rsidRPr="00E20E95">
        <w:rPr>
          <w:lang w:val="bs-Latn-BA"/>
        </w:rPr>
        <w:t>Datu</w:t>
      </w:r>
      <w:r w:rsidR="00306B69">
        <w:rPr>
          <w:lang w:val="bs-Latn-BA"/>
        </w:rPr>
        <w:t>m: ______</w:t>
      </w:r>
      <w:r w:rsidR="00ED0C93">
        <w:rPr>
          <w:lang w:val="bs-Latn-BA"/>
        </w:rPr>
        <w:t>.</w:t>
      </w:r>
      <w:r>
        <w:rPr>
          <w:lang w:val="bs-Latn-BA"/>
        </w:rPr>
        <w:t>2025</w:t>
      </w:r>
      <w:r w:rsidR="00ED0C93">
        <w:rPr>
          <w:lang w:val="bs-Latn-BA"/>
        </w:rPr>
        <w:t>.</w:t>
      </w:r>
      <w:r w:rsidRPr="00E20E95">
        <w:rPr>
          <w:lang w:val="bs-Latn-BA"/>
        </w:rPr>
        <w:t>godine</w:t>
      </w:r>
      <w:r w:rsidRPr="00E20E95">
        <w:rPr>
          <w:lang w:val="bs-Latn-BA"/>
        </w:rPr>
        <w:tab/>
      </w:r>
      <w:r w:rsidRPr="00E20E95">
        <w:rPr>
          <w:b/>
          <w:lang w:val="bs-Latn-BA"/>
        </w:rPr>
        <w:tab/>
      </w:r>
      <w:r>
        <w:rPr>
          <w:b/>
          <w:lang w:val="bs-Latn-BA"/>
        </w:rPr>
        <w:t xml:space="preserve">                               </w:t>
      </w:r>
      <w:r w:rsidR="00ED0C93">
        <w:rPr>
          <w:b/>
          <w:lang w:val="bs-Latn-BA"/>
        </w:rPr>
        <w:t xml:space="preserve">            </w:t>
      </w:r>
      <w:r>
        <w:rPr>
          <w:b/>
          <w:lang w:val="bs-Latn-BA"/>
        </w:rPr>
        <w:t>GRADSKOG VIJEĆA</w:t>
      </w:r>
    </w:p>
    <w:p w:rsidR="005A21C1" w:rsidRPr="00E63F28" w:rsidRDefault="005A21C1" w:rsidP="005A21C1">
      <w:pPr>
        <w:jc w:val="both"/>
        <w:rPr>
          <w:lang w:val="bs-Latn-BA"/>
        </w:rPr>
      </w:pPr>
      <w:r w:rsidRPr="00E20E95">
        <w:rPr>
          <w:lang w:val="bs-Latn-BA"/>
        </w:rPr>
        <w:t>G r a d a č a c</w:t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</w:p>
    <w:p w:rsidR="005A21C1" w:rsidRPr="004F629E" w:rsidRDefault="005A21C1" w:rsidP="005A21C1">
      <w:pPr>
        <w:jc w:val="both"/>
        <w:rPr>
          <w:b/>
          <w:i/>
          <w:lang w:val="bs-Latn-BA"/>
        </w:rPr>
      </w:pP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 w:rsidRPr="00E20E95">
        <w:rPr>
          <w:lang w:val="bs-Latn-BA"/>
        </w:rPr>
        <w:tab/>
      </w:r>
      <w:r>
        <w:rPr>
          <w:lang w:val="bs-Latn-BA"/>
        </w:rPr>
        <w:tab/>
        <w:t xml:space="preserve">                           </w:t>
      </w:r>
      <w:r>
        <w:rPr>
          <w:b/>
          <w:i/>
          <w:lang w:val="bs-Latn-BA"/>
        </w:rPr>
        <w:t>Nedžad Šećić</w:t>
      </w:r>
    </w:p>
    <w:p w:rsidR="005A21C1" w:rsidRDefault="005A21C1" w:rsidP="005A21C1">
      <w:pPr>
        <w:tabs>
          <w:tab w:val="left" w:pos="3660"/>
        </w:tabs>
        <w:jc w:val="center"/>
        <w:rPr>
          <w:b/>
          <w:lang w:val="bs-Latn-BA"/>
        </w:rPr>
      </w:pPr>
    </w:p>
    <w:p w:rsidR="005A21C1" w:rsidRDefault="005A21C1" w:rsidP="005A21C1">
      <w:pPr>
        <w:tabs>
          <w:tab w:val="left" w:pos="3660"/>
        </w:tabs>
        <w:jc w:val="center"/>
        <w:rPr>
          <w:b/>
          <w:lang w:val="bs-Latn-BA"/>
        </w:rPr>
      </w:pPr>
    </w:p>
    <w:p w:rsidR="005A21C1" w:rsidRDefault="005A21C1" w:rsidP="005A21C1">
      <w:pPr>
        <w:tabs>
          <w:tab w:val="left" w:pos="3660"/>
        </w:tabs>
        <w:jc w:val="center"/>
        <w:rPr>
          <w:b/>
          <w:lang w:val="bs-Latn-BA"/>
        </w:rPr>
      </w:pPr>
    </w:p>
    <w:p w:rsidR="005A21C1" w:rsidRDefault="005A21C1" w:rsidP="005A21C1">
      <w:pPr>
        <w:tabs>
          <w:tab w:val="left" w:pos="3660"/>
        </w:tabs>
        <w:jc w:val="center"/>
        <w:rPr>
          <w:b/>
          <w:lang w:val="bs-Latn-BA"/>
        </w:rPr>
      </w:pPr>
    </w:p>
    <w:p w:rsidR="005A21C1" w:rsidRDefault="005A21C1" w:rsidP="005A21C1">
      <w:pPr>
        <w:tabs>
          <w:tab w:val="left" w:pos="3660"/>
        </w:tabs>
        <w:jc w:val="center"/>
        <w:rPr>
          <w:b/>
          <w:lang w:val="bs-Latn-BA"/>
        </w:rPr>
      </w:pPr>
    </w:p>
    <w:p w:rsidR="00381224" w:rsidRDefault="00381224" w:rsidP="002A4FAA">
      <w:pPr>
        <w:rPr>
          <w:lang w:val="bs-Latn-BA"/>
        </w:rPr>
      </w:pPr>
    </w:p>
    <w:p w:rsidR="00306B69" w:rsidRDefault="00306B69" w:rsidP="002A4FAA">
      <w:pPr>
        <w:rPr>
          <w:lang w:val="bs-Latn-BA"/>
        </w:rPr>
      </w:pPr>
    </w:p>
    <w:p w:rsidR="00306B69" w:rsidRPr="00306B69" w:rsidRDefault="00306B69" w:rsidP="00306B69">
      <w:pPr>
        <w:tabs>
          <w:tab w:val="left" w:pos="3180"/>
        </w:tabs>
        <w:jc w:val="center"/>
        <w:rPr>
          <w:b/>
          <w:lang w:val="bs-Latn-BA"/>
        </w:rPr>
      </w:pPr>
      <w:r w:rsidRPr="00306B69">
        <w:rPr>
          <w:b/>
          <w:lang w:val="bs-Latn-BA"/>
        </w:rPr>
        <w:t>Obrazloženje</w:t>
      </w:r>
    </w:p>
    <w:p w:rsidR="00306B69" w:rsidRDefault="00306B69" w:rsidP="00306B69">
      <w:pPr>
        <w:tabs>
          <w:tab w:val="left" w:pos="3180"/>
        </w:tabs>
        <w:rPr>
          <w:lang w:val="bs-Latn-BA"/>
        </w:rPr>
      </w:pPr>
    </w:p>
    <w:p w:rsidR="00306B69" w:rsidRDefault="00306B69" w:rsidP="00306B69">
      <w:pPr>
        <w:tabs>
          <w:tab w:val="left" w:pos="3180"/>
        </w:tabs>
        <w:rPr>
          <w:lang w:val="bs-Latn-BA"/>
        </w:rPr>
      </w:pPr>
      <w:r w:rsidRPr="00AD4A7F">
        <w:rPr>
          <w:lang w:val="bs-Latn-BA"/>
        </w:rPr>
        <w:t xml:space="preserve">Pravni osnov za donošenje Odluke o davanju </w:t>
      </w:r>
      <w:r>
        <w:rPr>
          <w:lang w:val="bs-Latn-BA"/>
        </w:rPr>
        <w:t xml:space="preserve">prethodne </w:t>
      </w:r>
      <w:r w:rsidRPr="00AD4A7F">
        <w:rPr>
          <w:lang w:val="bs-Latn-BA"/>
        </w:rPr>
        <w:t>saglasnosti</w:t>
      </w:r>
      <w:r>
        <w:rPr>
          <w:lang w:val="bs-Latn-BA"/>
        </w:rPr>
        <w:t xml:space="preserve"> za imenovanje direktora društva sadržan je u sljedećim odredbama: </w:t>
      </w:r>
      <w:r>
        <w:rPr>
          <w:lang w:val="bs-Latn-BA"/>
        </w:rPr>
        <w:br/>
      </w:r>
    </w:p>
    <w:p w:rsidR="00306B69" w:rsidRDefault="00306B69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Članom 11. stav (3) Uredbe o vršenju ovlaštenja u privrednim društvima sa učešćem državnog kapitala iz nadležnosti Tuzlanskog kantona i općina/gradova na području Tuzlanskog kantona („Službene novine Tuzlanskog kantona“, br. 11/19) je propisano da Vlada kantona, odnosno općinsko/gradsko vijeće donosi odluku o davanju prethodne saglasnosti nadzornom odboru za </w:t>
      </w:r>
    </w:p>
    <w:p w:rsidR="00306B69" w:rsidRDefault="00306B69" w:rsidP="00306B69">
      <w:pPr>
        <w:tabs>
          <w:tab w:val="left" w:pos="3180"/>
        </w:tabs>
        <w:rPr>
          <w:lang w:val="bs-Latn-BA"/>
        </w:rPr>
      </w:pPr>
      <w:r>
        <w:rPr>
          <w:lang w:val="bs-Latn-BA"/>
        </w:rPr>
        <w:t>imenovanje članova uprave.</w:t>
      </w:r>
      <w:r>
        <w:rPr>
          <w:lang w:val="bs-Latn-BA"/>
        </w:rPr>
        <w:br/>
      </w:r>
    </w:p>
    <w:p w:rsidR="002660DA" w:rsidRDefault="00306B69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Članom 21. tačka 2. Statuta Grada Gradačac </w:t>
      </w:r>
      <w:r w:rsidRPr="00E20E95">
        <w:rPr>
          <w:lang w:val="bs-Latn-BA"/>
        </w:rPr>
        <w:t>("Službeni glasnik Grada Gradačac" broj: 1</w:t>
      </w:r>
      <w:r>
        <w:rPr>
          <w:lang w:val="bs-Latn-BA"/>
        </w:rPr>
        <w:t xml:space="preserve">0/22) je propisano da Gradsko vijeće donosi odluke i druge opće akte kojima uređuje pitanja iz samoupravnog djelokruga Grada. </w:t>
      </w:r>
    </w:p>
    <w:p w:rsidR="002660DA" w:rsidRDefault="002660DA" w:rsidP="00306B69">
      <w:pPr>
        <w:tabs>
          <w:tab w:val="left" w:pos="3180"/>
        </w:tabs>
        <w:jc w:val="both"/>
        <w:rPr>
          <w:lang w:val="bs-Latn-BA"/>
        </w:rPr>
      </w:pPr>
    </w:p>
    <w:p w:rsidR="00306B69" w:rsidRPr="00AD4A7F" w:rsidRDefault="00306B69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Članom 21. tačka 18.  </w:t>
      </w:r>
      <w:r w:rsidRPr="00E20E95">
        <w:rPr>
          <w:lang w:val="bs-Latn-BA"/>
        </w:rPr>
        <w:t>("Službeni glasnik Grada Gradačac" broj: 1</w:t>
      </w:r>
      <w:r>
        <w:rPr>
          <w:lang w:val="bs-Latn-BA"/>
        </w:rPr>
        <w:t>0/22) je propisano da Gradsko vijeće imenuje, bira i razrješava osobe određene zakonom, Statutom i odlukama, te daje saglasnost na imenovanja, izbor i razrješenja kada je to propisano.</w:t>
      </w:r>
    </w:p>
    <w:p w:rsidR="00306B69" w:rsidRPr="002146BB" w:rsidRDefault="00306B69" w:rsidP="00306B69">
      <w:pPr>
        <w:tabs>
          <w:tab w:val="left" w:pos="3180"/>
        </w:tabs>
        <w:jc w:val="both"/>
        <w:rPr>
          <w:lang w:val="bs-Latn-BA"/>
        </w:rPr>
      </w:pPr>
    </w:p>
    <w:p w:rsidR="00D0567D" w:rsidRDefault="00306B69" w:rsidP="00306B69">
      <w:pPr>
        <w:tabs>
          <w:tab w:val="left" w:pos="3180"/>
        </w:tabs>
        <w:jc w:val="both"/>
        <w:rPr>
          <w:bCs/>
          <w:lang w:val="bs-Latn-BA"/>
        </w:rPr>
      </w:pPr>
      <w:r w:rsidRPr="002660DA">
        <w:rPr>
          <w:lang w:val="bs-Latn-BA"/>
        </w:rPr>
        <w:t xml:space="preserve">Gradskom vijeću Grada Gradačac dana 21.04.2025.godine, dostavljen je Zahtjev za prethodnu saglasnost za imenovanje direktora </w:t>
      </w:r>
      <w:r w:rsidRPr="002660DA">
        <w:rPr>
          <w:bCs/>
          <w:lang w:val="bs-Latn-BA"/>
        </w:rPr>
        <w:t>JP „</w:t>
      </w:r>
      <w:r w:rsidR="004D1742" w:rsidRPr="002660DA">
        <w:rPr>
          <w:bCs/>
          <w:lang w:val="bs-Latn-BA"/>
        </w:rPr>
        <w:t xml:space="preserve">Parkinzi“ </w:t>
      </w:r>
      <w:r w:rsidRPr="002660DA">
        <w:rPr>
          <w:bCs/>
          <w:lang w:val="bs-Latn-BA"/>
        </w:rPr>
        <w:t>d.o.o. Gradačac uz koji je dostavljen</w:t>
      </w:r>
      <w:r w:rsidR="00D0567D">
        <w:rPr>
          <w:bCs/>
          <w:lang w:val="bs-Latn-BA"/>
        </w:rPr>
        <w:t>a</w:t>
      </w:r>
      <w:r w:rsidRPr="002660DA">
        <w:rPr>
          <w:bCs/>
          <w:lang w:val="bs-Latn-BA"/>
        </w:rPr>
        <w:t xml:space="preserve"> </w:t>
      </w:r>
      <w:r w:rsidR="00D0567D">
        <w:rPr>
          <w:bCs/>
          <w:lang w:val="bs-Latn-BA"/>
        </w:rPr>
        <w:t>i</w:t>
      </w:r>
    </w:p>
    <w:p w:rsidR="00D0567D" w:rsidRDefault="00D0567D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>Odluka o izboru direktora, u kojoj je navedeno da je Nadzorni odbor proveo konkursnu proceduru po Javnom konkursu za izbor i imenovanje direktora društva, br. 159-03/025 od 18.03.2025.godine</w:t>
      </w:r>
      <w:r w:rsidR="00CF154F">
        <w:rPr>
          <w:lang w:val="bs-Latn-BA"/>
        </w:rPr>
        <w:t xml:space="preserve">, da se na javni oglas prijavila dva kandidata M.Halilović Nedžad i Novalić Ensar, ali da M.Halilović Nedžad nije ispunjavao uslove jer nije dostavio sve tražene dokumente, te je isključen iz daljne procedure, te je </w:t>
      </w:r>
      <w:r>
        <w:rPr>
          <w:lang w:val="bs-Latn-BA"/>
        </w:rPr>
        <w:t>na sjednici Nadzornog odbora 21.04.2025godine donesena je odluka o izb</w:t>
      </w:r>
      <w:r w:rsidR="00CF154F">
        <w:rPr>
          <w:lang w:val="bs-Latn-BA"/>
        </w:rPr>
        <w:t>oru Ensara Novalića iz Gradačca za mjesto direktora JP „Parkinzi“ d.o.o. Gradačac.</w:t>
      </w:r>
    </w:p>
    <w:p w:rsidR="00306B69" w:rsidRDefault="00306B69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br/>
        <w:t>U konkretnom slučaju shodno članu 11. stav (3) i (4) navedene Uredbe, Gradsko vijeće donosi Odluku o davanju prethodne saglasnosti Nadzornom odboru za imenovanje direktora</w:t>
      </w:r>
      <w:r w:rsidRPr="00EB2A47">
        <w:rPr>
          <w:bCs/>
          <w:lang w:val="bs-Latn-BA"/>
        </w:rPr>
        <w:t xml:space="preserve"> </w:t>
      </w:r>
      <w:r>
        <w:rPr>
          <w:bCs/>
          <w:lang w:val="bs-Latn-BA"/>
        </w:rPr>
        <w:t xml:space="preserve">JP </w:t>
      </w:r>
      <w:r w:rsidRPr="003372CA">
        <w:rPr>
          <w:bCs/>
          <w:lang w:val="bs-Latn-BA"/>
        </w:rPr>
        <w:t>„</w:t>
      </w:r>
      <w:r w:rsidR="004D1742">
        <w:rPr>
          <w:bCs/>
          <w:lang w:val="bs-Latn-BA"/>
        </w:rPr>
        <w:t>Parkinzi</w:t>
      </w:r>
      <w:r w:rsidRPr="003372CA">
        <w:rPr>
          <w:bCs/>
          <w:lang w:val="bs-Latn-BA"/>
        </w:rPr>
        <w:t>“ d.o.o. Gradačac</w:t>
      </w:r>
      <w:r>
        <w:rPr>
          <w:lang w:val="bs-Latn-BA"/>
        </w:rPr>
        <w:t xml:space="preserve">, a nakon dobijanja prethodne saglasnosti </w:t>
      </w:r>
      <w:r w:rsidRPr="003658C2">
        <w:rPr>
          <w:lang w:val="bs-Latn-BA"/>
        </w:rPr>
        <w:t>nadzorni</w:t>
      </w:r>
      <w:r>
        <w:rPr>
          <w:lang w:val="bs-Latn-BA"/>
        </w:rPr>
        <w:t xml:space="preserve"> </w:t>
      </w:r>
      <w:r w:rsidRPr="003658C2">
        <w:rPr>
          <w:lang w:val="bs-Latn-BA"/>
        </w:rPr>
        <w:t>odbor privrednog društva je dužan donijeti odluku o imenovanju</w:t>
      </w:r>
      <w:r>
        <w:rPr>
          <w:lang w:val="bs-Latn-BA"/>
        </w:rPr>
        <w:t xml:space="preserve"> direktora.</w:t>
      </w:r>
    </w:p>
    <w:p w:rsidR="00306B69" w:rsidRDefault="00306B69" w:rsidP="00306B69">
      <w:pPr>
        <w:tabs>
          <w:tab w:val="left" w:pos="3180"/>
        </w:tabs>
        <w:jc w:val="both"/>
        <w:rPr>
          <w:b/>
          <w:lang w:val="bs-Latn-BA"/>
        </w:rPr>
      </w:pPr>
    </w:p>
    <w:p w:rsidR="00306B69" w:rsidRPr="003658C2" w:rsidRDefault="00306B69" w:rsidP="00306B69">
      <w:pPr>
        <w:tabs>
          <w:tab w:val="left" w:pos="3180"/>
        </w:tabs>
        <w:jc w:val="both"/>
        <w:rPr>
          <w:lang w:val="bs-Latn-BA"/>
        </w:rPr>
      </w:pPr>
      <w:r w:rsidRPr="003658C2">
        <w:rPr>
          <w:lang w:val="bs-Latn-BA"/>
        </w:rPr>
        <w:t>Uzimajući u obzir gore navedeno, Komisija za izbore i imeno</w:t>
      </w:r>
      <w:r w:rsidR="004D1742">
        <w:rPr>
          <w:lang w:val="bs-Latn-BA"/>
        </w:rPr>
        <w:t>vanja na 15</w:t>
      </w:r>
      <w:r>
        <w:rPr>
          <w:lang w:val="bs-Latn-BA"/>
        </w:rPr>
        <w:t xml:space="preserve">. sjednici održanoj dana </w:t>
      </w:r>
      <w:r w:rsidR="004D1742">
        <w:rPr>
          <w:lang w:val="bs-Latn-BA"/>
        </w:rPr>
        <w:t>22.04</w:t>
      </w:r>
      <w:r>
        <w:rPr>
          <w:lang w:val="bs-Latn-BA"/>
        </w:rPr>
        <w:t>.</w:t>
      </w:r>
      <w:r w:rsidR="004D1742">
        <w:rPr>
          <w:lang w:val="bs-Latn-BA"/>
        </w:rPr>
        <w:t>2025</w:t>
      </w:r>
      <w:r>
        <w:rPr>
          <w:lang w:val="bs-Latn-BA"/>
        </w:rPr>
        <w:t>.godine, utvrdila je prijedlog ove Odluke</w:t>
      </w:r>
      <w:r w:rsidR="004D1742">
        <w:rPr>
          <w:lang w:val="bs-Latn-BA"/>
        </w:rPr>
        <w:t xml:space="preserve"> i dostavlja je</w:t>
      </w:r>
      <w:r w:rsidRPr="003658C2">
        <w:rPr>
          <w:lang w:val="bs-Latn-BA"/>
        </w:rPr>
        <w:t xml:space="preserve"> Gradskom vijeću na </w:t>
      </w:r>
      <w:r w:rsidR="004D1742">
        <w:rPr>
          <w:lang w:val="bs-Latn-BA"/>
        </w:rPr>
        <w:t>odlučivanje.</w:t>
      </w:r>
    </w:p>
    <w:p w:rsidR="00306B69" w:rsidRDefault="00306B69" w:rsidP="00306B69">
      <w:pPr>
        <w:tabs>
          <w:tab w:val="left" w:pos="3180"/>
        </w:tabs>
        <w:jc w:val="both"/>
        <w:rPr>
          <w:lang w:val="bs-Latn-BA"/>
        </w:rPr>
      </w:pPr>
      <w:r>
        <w:rPr>
          <w:lang w:val="bs-Latn-BA"/>
        </w:rPr>
        <w:t xml:space="preserve">                                                        </w:t>
      </w:r>
    </w:p>
    <w:p w:rsidR="00306B69" w:rsidRPr="003658C2" w:rsidRDefault="00306B69" w:rsidP="00306B69">
      <w:pPr>
        <w:tabs>
          <w:tab w:val="left" w:pos="3180"/>
        </w:tabs>
        <w:jc w:val="both"/>
        <w:rPr>
          <w:b/>
          <w:lang w:val="bs-Latn-BA"/>
        </w:rPr>
      </w:pPr>
      <w:r>
        <w:rPr>
          <w:lang w:val="bs-Latn-BA"/>
        </w:rPr>
        <w:t xml:space="preserve">                                                                            </w:t>
      </w:r>
      <w:r w:rsidRPr="003658C2">
        <w:rPr>
          <w:b/>
          <w:lang w:val="bs-Latn-BA"/>
        </w:rPr>
        <w:t>KOMISIJA ZA IZBORE I IMENOVANJA</w:t>
      </w:r>
    </w:p>
    <w:p w:rsidR="00306B69" w:rsidRPr="00EB2A47" w:rsidRDefault="00306B69" w:rsidP="00306B69">
      <w:pPr>
        <w:tabs>
          <w:tab w:val="left" w:pos="3180"/>
        </w:tabs>
        <w:ind w:left="4956"/>
        <w:jc w:val="both"/>
        <w:rPr>
          <w:b/>
          <w:lang w:val="bs-Latn-BA"/>
        </w:rPr>
      </w:pPr>
      <w:r>
        <w:rPr>
          <w:b/>
          <w:lang w:val="bs-Latn-BA"/>
        </w:rPr>
        <w:t xml:space="preserve">        GRADSKOG VIJEĆA</w:t>
      </w:r>
    </w:p>
    <w:p w:rsidR="00306B69" w:rsidRPr="002A4FAA" w:rsidRDefault="00306B69" w:rsidP="002A4FAA">
      <w:pPr>
        <w:rPr>
          <w:lang w:val="bs-Latn-BA"/>
        </w:rPr>
      </w:pPr>
    </w:p>
    <w:sectPr w:rsidR="00306B69" w:rsidRPr="002A4FAA" w:rsidSect="0068174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501" w:rsidRDefault="00B57501" w:rsidP="00F039D9">
      <w:r>
        <w:separator/>
      </w:r>
    </w:p>
  </w:endnote>
  <w:endnote w:type="continuationSeparator" w:id="0">
    <w:p w:rsidR="00B57501" w:rsidRDefault="00B57501" w:rsidP="00F03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3180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06F42" w:rsidRDefault="000C246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75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06F42" w:rsidRDefault="00B06F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501" w:rsidRDefault="00B57501" w:rsidP="00F039D9">
      <w:r>
        <w:separator/>
      </w:r>
    </w:p>
  </w:footnote>
  <w:footnote w:type="continuationSeparator" w:id="0">
    <w:p w:rsidR="00B57501" w:rsidRDefault="00B57501" w:rsidP="00F039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85FC2"/>
    <w:multiLevelType w:val="multilevel"/>
    <w:tmpl w:val="AF525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5E5"/>
    <w:rsid w:val="00014E6C"/>
    <w:rsid w:val="00021F5E"/>
    <w:rsid w:val="00085BE0"/>
    <w:rsid w:val="00085E9E"/>
    <w:rsid w:val="000911E0"/>
    <w:rsid w:val="0009263F"/>
    <w:rsid w:val="000C246E"/>
    <w:rsid w:val="000D2A77"/>
    <w:rsid w:val="000E652F"/>
    <w:rsid w:val="00107AEA"/>
    <w:rsid w:val="001359AB"/>
    <w:rsid w:val="00141F4B"/>
    <w:rsid w:val="001541AC"/>
    <w:rsid w:val="0018424F"/>
    <w:rsid w:val="00196639"/>
    <w:rsid w:val="001A7769"/>
    <w:rsid w:val="001C4A02"/>
    <w:rsid w:val="001E3BC1"/>
    <w:rsid w:val="002146BB"/>
    <w:rsid w:val="00261277"/>
    <w:rsid w:val="00264829"/>
    <w:rsid w:val="0026527C"/>
    <w:rsid w:val="002660DA"/>
    <w:rsid w:val="002A3AFE"/>
    <w:rsid w:val="002A4FAA"/>
    <w:rsid w:val="002C4005"/>
    <w:rsid w:val="002D6CC5"/>
    <w:rsid w:val="00306B69"/>
    <w:rsid w:val="00323F0E"/>
    <w:rsid w:val="003331A0"/>
    <w:rsid w:val="00334C3B"/>
    <w:rsid w:val="003658C2"/>
    <w:rsid w:val="00366449"/>
    <w:rsid w:val="00381224"/>
    <w:rsid w:val="00395836"/>
    <w:rsid w:val="003A02B9"/>
    <w:rsid w:val="003D101F"/>
    <w:rsid w:val="003E3DD4"/>
    <w:rsid w:val="003E6BB9"/>
    <w:rsid w:val="00456025"/>
    <w:rsid w:val="00486040"/>
    <w:rsid w:val="004C75D3"/>
    <w:rsid w:val="004D1742"/>
    <w:rsid w:val="004F629E"/>
    <w:rsid w:val="004F669A"/>
    <w:rsid w:val="00504B4D"/>
    <w:rsid w:val="005203F7"/>
    <w:rsid w:val="0053638A"/>
    <w:rsid w:val="005659CC"/>
    <w:rsid w:val="00584248"/>
    <w:rsid w:val="005A1D8C"/>
    <w:rsid w:val="005A21C1"/>
    <w:rsid w:val="005A2B9A"/>
    <w:rsid w:val="005A2EFA"/>
    <w:rsid w:val="005B6FEC"/>
    <w:rsid w:val="005C4572"/>
    <w:rsid w:val="005E2FFA"/>
    <w:rsid w:val="0060329E"/>
    <w:rsid w:val="00633939"/>
    <w:rsid w:val="006426B3"/>
    <w:rsid w:val="00676AA1"/>
    <w:rsid w:val="00681159"/>
    <w:rsid w:val="0068174C"/>
    <w:rsid w:val="00694355"/>
    <w:rsid w:val="006A06E7"/>
    <w:rsid w:val="006D6D8F"/>
    <w:rsid w:val="006E2F9A"/>
    <w:rsid w:val="006E502E"/>
    <w:rsid w:val="00704F8B"/>
    <w:rsid w:val="007069C7"/>
    <w:rsid w:val="007239C7"/>
    <w:rsid w:val="007249E4"/>
    <w:rsid w:val="00732308"/>
    <w:rsid w:val="007513D7"/>
    <w:rsid w:val="00751F9A"/>
    <w:rsid w:val="007B4BC4"/>
    <w:rsid w:val="007D0786"/>
    <w:rsid w:val="007D3300"/>
    <w:rsid w:val="007F6EAE"/>
    <w:rsid w:val="00801838"/>
    <w:rsid w:val="00801A37"/>
    <w:rsid w:val="00817586"/>
    <w:rsid w:val="008463B7"/>
    <w:rsid w:val="00880FDE"/>
    <w:rsid w:val="00884851"/>
    <w:rsid w:val="008A0600"/>
    <w:rsid w:val="008A7BC6"/>
    <w:rsid w:val="008F04FF"/>
    <w:rsid w:val="00910F64"/>
    <w:rsid w:val="009225E5"/>
    <w:rsid w:val="00922E90"/>
    <w:rsid w:val="00951376"/>
    <w:rsid w:val="009A1D80"/>
    <w:rsid w:val="009A2AAA"/>
    <w:rsid w:val="009D37F9"/>
    <w:rsid w:val="00A01E9C"/>
    <w:rsid w:val="00A236D9"/>
    <w:rsid w:val="00A4555B"/>
    <w:rsid w:val="00A47D8F"/>
    <w:rsid w:val="00A531ED"/>
    <w:rsid w:val="00A74F26"/>
    <w:rsid w:val="00A85C7A"/>
    <w:rsid w:val="00A914EB"/>
    <w:rsid w:val="00A931F0"/>
    <w:rsid w:val="00AB7A3C"/>
    <w:rsid w:val="00AD4A7F"/>
    <w:rsid w:val="00AE4CE9"/>
    <w:rsid w:val="00B052D9"/>
    <w:rsid w:val="00B06F42"/>
    <w:rsid w:val="00B13A33"/>
    <w:rsid w:val="00B15FB1"/>
    <w:rsid w:val="00B21B6F"/>
    <w:rsid w:val="00B50E43"/>
    <w:rsid w:val="00B54B79"/>
    <w:rsid w:val="00B55F55"/>
    <w:rsid w:val="00B57501"/>
    <w:rsid w:val="00B64DB5"/>
    <w:rsid w:val="00B82800"/>
    <w:rsid w:val="00B84602"/>
    <w:rsid w:val="00BB27FB"/>
    <w:rsid w:val="00BC42F8"/>
    <w:rsid w:val="00BD084C"/>
    <w:rsid w:val="00BD3485"/>
    <w:rsid w:val="00BD7524"/>
    <w:rsid w:val="00BE1246"/>
    <w:rsid w:val="00BE5EA2"/>
    <w:rsid w:val="00C264A9"/>
    <w:rsid w:val="00C30DF3"/>
    <w:rsid w:val="00C57A33"/>
    <w:rsid w:val="00C760F4"/>
    <w:rsid w:val="00CD244F"/>
    <w:rsid w:val="00CE2882"/>
    <w:rsid w:val="00CF154F"/>
    <w:rsid w:val="00D0567D"/>
    <w:rsid w:val="00D527C2"/>
    <w:rsid w:val="00D6341C"/>
    <w:rsid w:val="00D94E32"/>
    <w:rsid w:val="00DA5C05"/>
    <w:rsid w:val="00E034B6"/>
    <w:rsid w:val="00E1270B"/>
    <w:rsid w:val="00E17567"/>
    <w:rsid w:val="00E20C14"/>
    <w:rsid w:val="00E20E95"/>
    <w:rsid w:val="00E33137"/>
    <w:rsid w:val="00E63F28"/>
    <w:rsid w:val="00E75E60"/>
    <w:rsid w:val="00E776F6"/>
    <w:rsid w:val="00EB43BF"/>
    <w:rsid w:val="00ED0C93"/>
    <w:rsid w:val="00EF2556"/>
    <w:rsid w:val="00EF6596"/>
    <w:rsid w:val="00F039D9"/>
    <w:rsid w:val="00F13302"/>
    <w:rsid w:val="00F41576"/>
    <w:rsid w:val="00F56C40"/>
    <w:rsid w:val="00F61443"/>
    <w:rsid w:val="00F66F08"/>
    <w:rsid w:val="00F7053A"/>
    <w:rsid w:val="00F84A2B"/>
    <w:rsid w:val="00F97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89C53-09A6-4DF0-961F-C79BC2B02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5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rsid w:val="00704F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0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0F4"/>
    <w:rPr>
      <w:rFonts w:ascii="Segoe UI" w:eastAsia="Times New Roman" w:hAnsi="Segoe UI" w:cs="Segoe UI"/>
      <w:sz w:val="18"/>
      <w:szCs w:val="18"/>
      <w:lang w:val="en-GB" w:eastAsia="ar-SA"/>
    </w:rPr>
  </w:style>
  <w:style w:type="paragraph" w:styleId="NoSpacing">
    <w:name w:val="No Spacing"/>
    <w:uiPriority w:val="1"/>
    <w:qFormat/>
    <w:rsid w:val="00E20E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Header">
    <w:name w:val="header"/>
    <w:basedOn w:val="Normal"/>
    <w:link w:val="HeaderChar"/>
    <w:uiPriority w:val="99"/>
    <w:unhideWhenUsed/>
    <w:rsid w:val="00F039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39D9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F039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039D9"/>
    <w:rPr>
      <w:rFonts w:ascii="Times New Roman" w:eastAsia="Times New Roman" w:hAnsi="Times New Roman" w:cs="Times New Roman"/>
      <w:sz w:val="24"/>
      <w:szCs w:val="24"/>
      <w:lang w:val="en-GB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merimas</dc:creator>
  <cp:lastModifiedBy>Arnela Inkić</cp:lastModifiedBy>
  <cp:revision>10</cp:revision>
  <cp:lastPrinted>2025-04-04T09:29:00Z</cp:lastPrinted>
  <dcterms:created xsi:type="dcterms:W3CDTF">2025-04-20T12:43:00Z</dcterms:created>
  <dcterms:modified xsi:type="dcterms:W3CDTF">2025-04-22T10:55:00Z</dcterms:modified>
</cp:coreProperties>
</file>